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A0" w:rsidRPr="003D22A0" w:rsidRDefault="003D22A0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3D22A0">
        <w:rPr>
          <w:rFonts w:ascii="Arial" w:hAnsi="Arial" w:cs="Arial"/>
          <w:b/>
          <w:sz w:val="20"/>
          <w:szCs w:val="20"/>
        </w:rPr>
        <w:t>SDD: Annual General Mandate</w:t>
      </w:r>
    </w:p>
    <w:bookmarkEnd w:id="0"/>
    <w:p w:rsidR="00713E65" w:rsidRDefault="004B3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28</w:t>
      </w:r>
      <w:r w:rsidRPr="004B394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April, 2017, </w:t>
      </w:r>
      <w:r w:rsidRPr="002203E7">
        <w:rPr>
          <w:rFonts w:ascii="Arial" w:hAnsi="Arial" w:cs="Arial"/>
          <w:sz w:val="20"/>
          <w:szCs w:val="20"/>
        </w:rPr>
        <w:t>Song Da Investment and Construction J</w:t>
      </w:r>
      <w:r>
        <w:rPr>
          <w:rFonts w:ascii="Arial" w:hAnsi="Arial" w:cs="Arial"/>
          <w:sz w:val="20"/>
          <w:szCs w:val="20"/>
        </w:rPr>
        <w:t>oint Stock Company announced</w:t>
      </w:r>
      <w:r w:rsidR="003D22A0">
        <w:rPr>
          <w:rFonts w:ascii="Arial" w:hAnsi="Arial" w:cs="Arial"/>
          <w:sz w:val="20"/>
          <w:szCs w:val="20"/>
        </w:rPr>
        <w:t xml:space="preserve"> the </w:t>
      </w:r>
      <w:r w:rsidR="003D22A0" w:rsidRPr="003D22A0">
        <w:rPr>
          <w:rFonts w:ascii="Arial" w:hAnsi="Arial" w:cs="Arial"/>
          <w:sz w:val="20"/>
          <w:szCs w:val="20"/>
        </w:rPr>
        <w:t>Annual General Mandate</w:t>
      </w:r>
      <w:r w:rsidR="003D22A0">
        <w:rPr>
          <w:rFonts w:ascii="Arial" w:hAnsi="Arial" w:cs="Arial"/>
          <w:sz w:val="20"/>
          <w:szCs w:val="20"/>
        </w:rPr>
        <w:t xml:space="preserve"> as follows:</w:t>
      </w:r>
    </w:p>
    <w:p w:rsidR="004B3943" w:rsidRDefault="004B3943">
      <w:pPr>
        <w:rPr>
          <w:rFonts w:ascii="Arial" w:hAnsi="Arial" w:cs="Arial"/>
          <w:sz w:val="20"/>
          <w:szCs w:val="20"/>
        </w:rPr>
      </w:pPr>
    </w:p>
    <w:p w:rsidR="004B3943" w:rsidRDefault="00F551EB">
      <w:pPr>
        <w:rPr>
          <w:rFonts w:ascii="Arial" w:hAnsi="Arial" w:cs="Arial"/>
          <w:sz w:val="20"/>
          <w:szCs w:val="20"/>
        </w:rPr>
      </w:pPr>
      <w:r w:rsidRPr="00CD6921">
        <w:rPr>
          <w:rFonts w:ascii="Arial" w:hAnsi="Arial" w:cs="Arial"/>
          <w:b/>
          <w:sz w:val="20"/>
          <w:szCs w:val="20"/>
          <w:u w:val="single"/>
        </w:rPr>
        <w:t>Article 1</w:t>
      </w:r>
      <w:r w:rsidR="00CD6921" w:rsidRPr="00CD6921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The General Meeting of Shareholders agreed to approve the Report of the Board of Directors on production and business activities in 2016 and the audited financial statements in 2016 of </w:t>
      </w:r>
      <w:r w:rsidRPr="002203E7">
        <w:rPr>
          <w:rFonts w:ascii="Arial" w:hAnsi="Arial" w:cs="Arial"/>
          <w:sz w:val="20"/>
          <w:szCs w:val="20"/>
        </w:rPr>
        <w:t>Song Da Investment and Construction J</w:t>
      </w:r>
      <w:r>
        <w:rPr>
          <w:rFonts w:ascii="Arial" w:hAnsi="Arial" w:cs="Arial"/>
          <w:sz w:val="20"/>
          <w:szCs w:val="20"/>
        </w:rPr>
        <w:t>oint Stock 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D6921" w:rsidRPr="00CD6921" w:rsidTr="00CD6921">
        <w:tc>
          <w:tcPr>
            <w:tcW w:w="4788" w:type="dxa"/>
          </w:tcPr>
          <w:p w:rsidR="00CD6921" w:rsidRPr="00CD6921" w:rsidRDefault="00CD6921" w:rsidP="00CD6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921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4788" w:type="dxa"/>
          </w:tcPr>
          <w:p w:rsidR="00CD6921" w:rsidRPr="00CD6921" w:rsidRDefault="00CD6921" w:rsidP="00CD6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921">
              <w:rPr>
                <w:rFonts w:ascii="Arial" w:hAnsi="Arial" w:cs="Arial"/>
                <w:b/>
                <w:sz w:val="20"/>
                <w:szCs w:val="20"/>
              </w:rPr>
              <w:t>PERFORMANCE IN 2016</w:t>
            </w:r>
          </w:p>
        </w:tc>
      </w:tr>
      <w:tr w:rsidR="00CD6921" w:rsidTr="00CD6921">
        <w:tc>
          <w:tcPr>
            <w:tcW w:w="4788" w:type="dxa"/>
          </w:tcPr>
          <w:p w:rsidR="00CD6921" w:rsidRDefault="00CD6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revenue from sale of goods and rendering of services (million VND)</w:t>
            </w:r>
          </w:p>
        </w:tc>
        <w:tc>
          <w:tcPr>
            <w:tcW w:w="4788" w:type="dxa"/>
          </w:tcPr>
          <w:p w:rsidR="00CD6921" w:rsidRDefault="00CD6921" w:rsidP="00CD69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71,704</w:t>
            </w:r>
          </w:p>
        </w:tc>
      </w:tr>
      <w:tr w:rsidR="00CD6921" w:rsidTr="00CD6921">
        <w:tc>
          <w:tcPr>
            <w:tcW w:w="4788" w:type="dxa"/>
          </w:tcPr>
          <w:p w:rsidR="00CD6921" w:rsidRDefault="00CD6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profit after tax (million VND)</w:t>
            </w:r>
          </w:p>
        </w:tc>
        <w:tc>
          <w:tcPr>
            <w:tcW w:w="4788" w:type="dxa"/>
          </w:tcPr>
          <w:p w:rsidR="00CD6921" w:rsidRDefault="00CD6921" w:rsidP="00CD69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-3,470</w:t>
            </w:r>
          </w:p>
        </w:tc>
      </w:tr>
      <w:tr w:rsidR="00CD6921" w:rsidTr="00CD6921">
        <w:tc>
          <w:tcPr>
            <w:tcW w:w="4788" w:type="dxa"/>
          </w:tcPr>
          <w:p w:rsidR="00CD6921" w:rsidRDefault="00CD6921">
            <w:pPr>
              <w:rPr>
                <w:rFonts w:ascii="Arial" w:hAnsi="Arial" w:cs="Arial"/>
                <w:sz w:val="20"/>
                <w:szCs w:val="20"/>
              </w:rPr>
            </w:pPr>
            <w:r w:rsidRPr="00CD6921">
              <w:rPr>
                <w:rFonts w:ascii="Arial" w:hAnsi="Arial" w:cs="Arial"/>
                <w:sz w:val="20"/>
                <w:szCs w:val="20"/>
              </w:rPr>
              <w:t>Dividend payout ratio + bonus share (%)</w:t>
            </w:r>
          </w:p>
        </w:tc>
        <w:tc>
          <w:tcPr>
            <w:tcW w:w="4788" w:type="dxa"/>
          </w:tcPr>
          <w:p w:rsidR="00CD6921" w:rsidRDefault="00CD6921" w:rsidP="00CD69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551EB" w:rsidRDefault="00CD6921">
      <w:pPr>
        <w:rPr>
          <w:rFonts w:ascii="Arial" w:hAnsi="Arial" w:cs="Arial"/>
          <w:sz w:val="20"/>
          <w:szCs w:val="20"/>
        </w:rPr>
      </w:pPr>
      <w:r w:rsidRPr="00D83DAD">
        <w:rPr>
          <w:rFonts w:ascii="Arial" w:hAnsi="Arial" w:cs="Arial"/>
          <w:b/>
          <w:sz w:val="20"/>
          <w:szCs w:val="20"/>
          <w:u w:val="single"/>
        </w:rPr>
        <w:t>Article 2:</w:t>
      </w:r>
      <w:r>
        <w:rPr>
          <w:rFonts w:ascii="Arial" w:hAnsi="Arial" w:cs="Arial"/>
          <w:sz w:val="20"/>
          <w:szCs w:val="20"/>
        </w:rPr>
        <w:t xml:space="preserve"> The Board of Directors agreed to approve the production and business plan in 2017 of </w:t>
      </w:r>
      <w:r w:rsidRPr="002203E7">
        <w:rPr>
          <w:rFonts w:ascii="Arial" w:hAnsi="Arial" w:cs="Arial"/>
          <w:sz w:val="20"/>
          <w:szCs w:val="20"/>
        </w:rPr>
        <w:t>Song Da Investment and Construction J</w:t>
      </w:r>
      <w:r>
        <w:rPr>
          <w:rFonts w:ascii="Arial" w:hAnsi="Arial" w:cs="Arial"/>
          <w:sz w:val="20"/>
          <w:szCs w:val="20"/>
        </w:rPr>
        <w:t>oint Stock 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3DAD" w:rsidRPr="00CD6921" w:rsidTr="00C072C9">
        <w:tc>
          <w:tcPr>
            <w:tcW w:w="4788" w:type="dxa"/>
          </w:tcPr>
          <w:p w:rsidR="00D83DAD" w:rsidRPr="00CD6921" w:rsidRDefault="00D83DAD" w:rsidP="00C0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921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4788" w:type="dxa"/>
          </w:tcPr>
          <w:p w:rsidR="00D83DAD" w:rsidRPr="00CD6921" w:rsidRDefault="00D83DAD" w:rsidP="00C0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921">
              <w:rPr>
                <w:rFonts w:ascii="Arial" w:hAnsi="Arial" w:cs="Arial"/>
                <w:b/>
                <w:sz w:val="20"/>
                <w:szCs w:val="20"/>
              </w:rPr>
              <w:t>PERFORMANCE IN 2016</w:t>
            </w:r>
          </w:p>
        </w:tc>
      </w:tr>
      <w:tr w:rsidR="00D83DAD" w:rsidTr="00C072C9">
        <w:tc>
          <w:tcPr>
            <w:tcW w:w="4788" w:type="dxa"/>
          </w:tcPr>
          <w:p w:rsidR="00D83DAD" w:rsidRDefault="00D83DAD" w:rsidP="00C07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Production and business value (million VND)</w:t>
            </w:r>
          </w:p>
        </w:tc>
        <w:tc>
          <w:tcPr>
            <w:tcW w:w="4788" w:type="dxa"/>
          </w:tcPr>
          <w:p w:rsidR="00D83DAD" w:rsidRDefault="00D83DAD" w:rsidP="00D83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70,000</w:t>
            </w:r>
          </w:p>
        </w:tc>
      </w:tr>
      <w:tr w:rsidR="00D83DAD" w:rsidTr="00C072C9">
        <w:tc>
          <w:tcPr>
            <w:tcW w:w="4788" w:type="dxa"/>
          </w:tcPr>
          <w:p w:rsidR="00D83DAD" w:rsidRDefault="00D83DAD" w:rsidP="00C07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revenue (million VND); where</w:t>
            </w:r>
          </w:p>
          <w:p w:rsidR="00D83DAD" w:rsidRDefault="00D83DAD" w:rsidP="00C07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Revenue from construction</w:t>
            </w:r>
          </w:p>
          <w:p w:rsidR="00D83DAD" w:rsidRDefault="00D83DAD" w:rsidP="00C07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Revenue from power generation</w:t>
            </w:r>
          </w:p>
        </w:tc>
        <w:tc>
          <w:tcPr>
            <w:tcW w:w="4788" w:type="dxa"/>
          </w:tcPr>
          <w:p w:rsidR="00D83DAD" w:rsidRDefault="00D83DAD" w:rsidP="00D83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70,000</w:t>
            </w:r>
          </w:p>
          <w:p w:rsidR="00D83DAD" w:rsidRDefault="00D83DAD" w:rsidP="00D83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  <w:p w:rsidR="00D83DAD" w:rsidRDefault="00D83DAD" w:rsidP="00D83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D83DAD" w:rsidTr="00C072C9">
        <w:tc>
          <w:tcPr>
            <w:tcW w:w="4788" w:type="dxa"/>
          </w:tcPr>
          <w:p w:rsidR="00D83DAD" w:rsidRDefault="00D83DAD" w:rsidP="00C07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profit after tax (million VND)</w:t>
            </w:r>
          </w:p>
        </w:tc>
        <w:tc>
          <w:tcPr>
            <w:tcW w:w="4788" w:type="dxa"/>
          </w:tcPr>
          <w:p w:rsidR="00D83DAD" w:rsidRDefault="00D83DAD" w:rsidP="00D83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497E1E" w:rsidRPr="00497E1E" w:rsidRDefault="00497E1E" w:rsidP="00497E1E">
      <w:pPr>
        <w:rPr>
          <w:rFonts w:ascii="Arial" w:hAnsi="Arial" w:cs="Arial"/>
          <w:sz w:val="20"/>
          <w:szCs w:val="20"/>
        </w:rPr>
      </w:pPr>
      <w:r w:rsidRPr="003B2819">
        <w:rPr>
          <w:rFonts w:ascii="Arial" w:hAnsi="Arial" w:cs="Arial"/>
          <w:b/>
          <w:sz w:val="20"/>
          <w:szCs w:val="20"/>
          <w:u w:val="single"/>
        </w:rPr>
        <w:t>Article 3:</w:t>
      </w:r>
      <w:r w:rsidRPr="00497E1E">
        <w:rPr>
          <w:rFonts w:ascii="Arial" w:hAnsi="Arial" w:cs="Arial"/>
          <w:sz w:val="20"/>
          <w:szCs w:val="20"/>
        </w:rPr>
        <w:t xml:space="preserve"> The General Meeting of Shareholders </w:t>
      </w:r>
      <w:r w:rsidR="003B2819">
        <w:rPr>
          <w:rFonts w:ascii="Arial" w:hAnsi="Arial" w:cs="Arial"/>
          <w:sz w:val="20"/>
          <w:szCs w:val="20"/>
        </w:rPr>
        <w:t>agreed to</w:t>
      </w:r>
      <w:r w:rsidRPr="00497E1E">
        <w:rPr>
          <w:rFonts w:ascii="Arial" w:hAnsi="Arial" w:cs="Arial"/>
          <w:sz w:val="20"/>
          <w:szCs w:val="20"/>
        </w:rPr>
        <w:t xml:space="preserve"> approve</w:t>
      </w:r>
      <w:r w:rsidR="003B2819">
        <w:rPr>
          <w:rFonts w:ascii="Arial" w:hAnsi="Arial" w:cs="Arial"/>
          <w:sz w:val="20"/>
          <w:szCs w:val="20"/>
        </w:rPr>
        <w:t xml:space="preserve"> </w:t>
      </w:r>
      <w:r w:rsidRPr="00497E1E">
        <w:rPr>
          <w:rFonts w:ascii="Arial" w:hAnsi="Arial" w:cs="Arial"/>
          <w:sz w:val="20"/>
          <w:szCs w:val="20"/>
        </w:rPr>
        <w:t xml:space="preserve">the Report of the </w:t>
      </w:r>
      <w:r w:rsidR="00AC2B99" w:rsidRPr="00497E1E">
        <w:rPr>
          <w:rFonts w:ascii="Arial" w:hAnsi="Arial" w:cs="Arial"/>
          <w:sz w:val="20"/>
          <w:szCs w:val="20"/>
        </w:rPr>
        <w:t>Supervisor</w:t>
      </w:r>
      <w:r w:rsidR="00AC2B99">
        <w:rPr>
          <w:rFonts w:ascii="Arial" w:hAnsi="Arial" w:cs="Arial"/>
          <w:sz w:val="20"/>
          <w:szCs w:val="20"/>
        </w:rPr>
        <w:t xml:space="preserve">y </w:t>
      </w:r>
      <w:r w:rsidRPr="00497E1E">
        <w:rPr>
          <w:rFonts w:ascii="Arial" w:hAnsi="Arial" w:cs="Arial"/>
          <w:sz w:val="20"/>
          <w:szCs w:val="20"/>
        </w:rPr>
        <w:t xml:space="preserve">Board </w:t>
      </w:r>
      <w:r w:rsidR="00AC2B99">
        <w:rPr>
          <w:rFonts w:ascii="Arial" w:hAnsi="Arial" w:cs="Arial"/>
          <w:sz w:val="20"/>
          <w:szCs w:val="20"/>
        </w:rPr>
        <w:t xml:space="preserve">on evaluation and </w:t>
      </w:r>
      <w:r w:rsidRPr="00497E1E">
        <w:rPr>
          <w:rFonts w:ascii="Arial" w:hAnsi="Arial" w:cs="Arial"/>
          <w:sz w:val="20"/>
          <w:szCs w:val="20"/>
        </w:rPr>
        <w:t>apprais</w:t>
      </w:r>
      <w:r w:rsidR="00AC2B99">
        <w:rPr>
          <w:rFonts w:ascii="Arial" w:hAnsi="Arial" w:cs="Arial"/>
          <w:sz w:val="20"/>
          <w:szCs w:val="20"/>
        </w:rPr>
        <w:t>al of</w:t>
      </w:r>
      <w:r w:rsidRPr="00497E1E">
        <w:rPr>
          <w:rFonts w:ascii="Arial" w:hAnsi="Arial" w:cs="Arial"/>
          <w:sz w:val="20"/>
          <w:szCs w:val="20"/>
        </w:rPr>
        <w:t xml:space="preserve"> the </w:t>
      </w:r>
      <w:r w:rsidR="00AC2B99">
        <w:rPr>
          <w:rFonts w:ascii="Arial" w:hAnsi="Arial" w:cs="Arial"/>
          <w:sz w:val="20"/>
          <w:szCs w:val="20"/>
        </w:rPr>
        <w:t>production and</w:t>
      </w:r>
      <w:r w:rsidRPr="00497E1E">
        <w:rPr>
          <w:rFonts w:ascii="Arial" w:hAnsi="Arial" w:cs="Arial"/>
          <w:sz w:val="20"/>
          <w:szCs w:val="20"/>
        </w:rPr>
        <w:t xml:space="preserve"> business performance, financial statements, management and administration of the Board of Directors</w:t>
      </w:r>
      <w:r w:rsidR="00AC2B99">
        <w:rPr>
          <w:rFonts w:ascii="Arial" w:hAnsi="Arial" w:cs="Arial"/>
          <w:sz w:val="20"/>
          <w:szCs w:val="20"/>
        </w:rPr>
        <w:t xml:space="preserve"> and Board of Management in</w:t>
      </w:r>
      <w:r w:rsidRPr="00497E1E">
        <w:rPr>
          <w:rFonts w:ascii="Arial" w:hAnsi="Arial" w:cs="Arial"/>
          <w:sz w:val="20"/>
          <w:szCs w:val="20"/>
        </w:rPr>
        <w:t xml:space="preserve"> 2016.</w:t>
      </w:r>
    </w:p>
    <w:p w:rsidR="00CD6921" w:rsidRDefault="00497E1E" w:rsidP="00497E1E">
      <w:pPr>
        <w:rPr>
          <w:rFonts w:ascii="Arial" w:hAnsi="Arial" w:cs="Arial"/>
          <w:sz w:val="20"/>
          <w:szCs w:val="20"/>
        </w:rPr>
      </w:pPr>
      <w:r w:rsidRPr="00AC2B99">
        <w:rPr>
          <w:rFonts w:ascii="Arial" w:hAnsi="Arial" w:cs="Arial"/>
          <w:b/>
          <w:sz w:val="20"/>
          <w:szCs w:val="20"/>
          <w:u w:val="single"/>
        </w:rPr>
        <w:t>Article 4:</w:t>
      </w:r>
      <w:r w:rsidRPr="00497E1E">
        <w:rPr>
          <w:rFonts w:ascii="Arial" w:hAnsi="Arial" w:cs="Arial"/>
          <w:sz w:val="20"/>
          <w:szCs w:val="20"/>
        </w:rPr>
        <w:t xml:space="preserve"> The General Meeting of Shareholders </w:t>
      </w:r>
      <w:r w:rsidR="00AC2B99">
        <w:rPr>
          <w:rFonts w:ascii="Arial" w:hAnsi="Arial" w:cs="Arial"/>
          <w:sz w:val="20"/>
          <w:szCs w:val="20"/>
        </w:rPr>
        <w:t>agreed to</w:t>
      </w:r>
      <w:r w:rsidR="00AC2B99" w:rsidRPr="00497E1E">
        <w:rPr>
          <w:rFonts w:ascii="Arial" w:hAnsi="Arial" w:cs="Arial"/>
          <w:sz w:val="20"/>
          <w:szCs w:val="20"/>
        </w:rPr>
        <w:t xml:space="preserve"> approve</w:t>
      </w:r>
      <w:r w:rsidR="00AC2B99">
        <w:rPr>
          <w:rFonts w:ascii="Arial" w:hAnsi="Arial" w:cs="Arial"/>
          <w:sz w:val="20"/>
          <w:szCs w:val="20"/>
        </w:rPr>
        <w:t xml:space="preserve"> </w:t>
      </w:r>
      <w:r w:rsidRPr="00497E1E">
        <w:rPr>
          <w:rFonts w:ascii="Arial" w:hAnsi="Arial" w:cs="Arial"/>
          <w:sz w:val="20"/>
          <w:szCs w:val="20"/>
        </w:rPr>
        <w:t xml:space="preserve">the Remuneration </w:t>
      </w:r>
      <w:r w:rsidR="00AC2B99">
        <w:rPr>
          <w:rFonts w:ascii="Arial" w:hAnsi="Arial" w:cs="Arial"/>
          <w:sz w:val="20"/>
          <w:szCs w:val="20"/>
        </w:rPr>
        <w:t>p</w:t>
      </w:r>
      <w:r w:rsidRPr="00497E1E">
        <w:rPr>
          <w:rFonts w:ascii="Arial" w:hAnsi="Arial" w:cs="Arial"/>
          <w:sz w:val="20"/>
          <w:szCs w:val="20"/>
        </w:rPr>
        <w:t>lan for the Board of Directors and Supervisory Board in 2017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3397"/>
        <w:gridCol w:w="1275"/>
        <w:gridCol w:w="1152"/>
        <w:gridCol w:w="1617"/>
        <w:gridCol w:w="1596"/>
      </w:tblGrid>
      <w:tr w:rsidR="001A21D4" w:rsidRPr="001A21D4" w:rsidTr="001A21D4">
        <w:tc>
          <w:tcPr>
            <w:tcW w:w="539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397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275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152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Months</w:t>
            </w:r>
          </w:p>
        </w:tc>
        <w:tc>
          <w:tcPr>
            <w:tcW w:w="1617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Remuneration/ month (VND)</w:t>
            </w:r>
          </w:p>
        </w:tc>
        <w:tc>
          <w:tcPr>
            <w:tcW w:w="1596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Total remuneration/ year (VND)</w:t>
            </w:r>
          </w:p>
        </w:tc>
      </w:tr>
      <w:tr w:rsidR="001A21D4" w:rsidRPr="001A21D4" w:rsidTr="001A21D4">
        <w:tc>
          <w:tcPr>
            <w:tcW w:w="539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397" w:type="dxa"/>
          </w:tcPr>
          <w:p w:rsidR="001A21D4" w:rsidRPr="001A21D4" w:rsidRDefault="001A21D4" w:rsidP="001A2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 xml:space="preserve">Board of Directors </w:t>
            </w:r>
          </w:p>
        </w:tc>
        <w:tc>
          <w:tcPr>
            <w:tcW w:w="1275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108,000,000</w:t>
            </w:r>
          </w:p>
        </w:tc>
      </w:tr>
      <w:tr w:rsidR="001A21D4" w:rsidTr="001A21D4">
        <w:tc>
          <w:tcPr>
            <w:tcW w:w="539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1A21D4" w:rsidRPr="00497E1E" w:rsidRDefault="001A21D4" w:rsidP="001A2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Chairman of the </w:t>
            </w:r>
            <w:r w:rsidRPr="00497E1E">
              <w:rPr>
                <w:rFonts w:ascii="Arial" w:hAnsi="Arial" w:cs="Arial"/>
                <w:sz w:val="20"/>
                <w:szCs w:val="20"/>
              </w:rPr>
              <w:t>Board of Directors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1A21D4" w:rsidRPr="00497E1E" w:rsidRDefault="001A21D4" w:rsidP="001A21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21D4">
              <w:rPr>
                <w:rFonts w:ascii="Arial" w:hAnsi="Arial" w:cs="Arial"/>
                <w:sz w:val="20"/>
                <w:szCs w:val="20"/>
              </w:rPr>
              <w:t>3,000,000</w:t>
            </w:r>
          </w:p>
        </w:tc>
        <w:tc>
          <w:tcPr>
            <w:tcW w:w="1596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21D4">
              <w:rPr>
                <w:rFonts w:ascii="Arial" w:hAnsi="Arial" w:cs="Arial"/>
                <w:sz w:val="20"/>
                <w:szCs w:val="20"/>
              </w:rPr>
              <w:t>36,000,000</w:t>
            </w:r>
          </w:p>
        </w:tc>
      </w:tr>
      <w:tr w:rsidR="001A21D4" w:rsidTr="001A21D4">
        <w:tc>
          <w:tcPr>
            <w:tcW w:w="539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7" w:type="dxa"/>
          </w:tcPr>
          <w:p w:rsidR="001A21D4" w:rsidRDefault="001A21D4" w:rsidP="001A2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the </w:t>
            </w:r>
            <w:r w:rsidRPr="00497E1E">
              <w:rPr>
                <w:rFonts w:ascii="Arial" w:hAnsi="Arial" w:cs="Arial"/>
                <w:sz w:val="20"/>
                <w:szCs w:val="20"/>
              </w:rPr>
              <w:t>Board of Directors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21D4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596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21D4">
              <w:rPr>
                <w:rFonts w:ascii="Arial" w:hAnsi="Arial" w:cs="Arial"/>
                <w:sz w:val="20"/>
                <w:szCs w:val="20"/>
              </w:rPr>
              <w:t>72,000,000</w:t>
            </w:r>
          </w:p>
        </w:tc>
      </w:tr>
      <w:tr w:rsidR="001A21D4" w:rsidRPr="001A21D4" w:rsidTr="001A21D4">
        <w:tc>
          <w:tcPr>
            <w:tcW w:w="539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3397" w:type="dxa"/>
          </w:tcPr>
          <w:p w:rsidR="001A21D4" w:rsidRPr="001A21D4" w:rsidRDefault="001A21D4" w:rsidP="001A2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 xml:space="preserve">Supervisory Board </w:t>
            </w:r>
          </w:p>
        </w:tc>
        <w:tc>
          <w:tcPr>
            <w:tcW w:w="1275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42,000,000</w:t>
            </w:r>
          </w:p>
        </w:tc>
      </w:tr>
      <w:tr w:rsidR="001A21D4" w:rsidTr="001A21D4">
        <w:tc>
          <w:tcPr>
            <w:tcW w:w="539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1A21D4" w:rsidRPr="00497E1E" w:rsidRDefault="001A21D4" w:rsidP="001A2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Chief of the </w:t>
            </w:r>
            <w:r w:rsidRPr="00497E1E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497E1E">
              <w:rPr>
                <w:rFonts w:ascii="Arial" w:hAnsi="Arial" w:cs="Arial"/>
                <w:sz w:val="20"/>
                <w:szCs w:val="20"/>
              </w:rPr>
              <w:t xml:space="preserve">Board </w:t>
            </w:r>
          </w:p>
        </w:tc>
        <w:tc>
          <w:tcPr>
            <w:tcW w:w="1275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21D4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596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21D4">
              <w:rPr>
                <w:rFonts w:ascii="Arial" w:hAnsi="Arial" w:cs="Arial"/>
                <w:sz w:val="20"/>
                <w:szCs w:val="20"/>
              </w:rPr>
              <w:t>18,000,000</w:t>
            </w:r>
          </w:p>
        </w:tc>
      </w:tr>
      <w:tr w:rsidR="001A21D4" w:rsidTr="001A21D4">
        <w:tc>
          <w:tcPr>
            <w:tcW w:w="539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7" w:type="dxa"/>
          </w:tcPr>
          <w:p w:rsidR="001A21D4" w:rsidRDefault="001A21D4" w:rsidP="001A2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the </w:t>
            </w:r>
            <w:r w:rsidRPr="00497E1E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497E1E">
              <w:rPr>
                <w:rFonts w:ascii="Arial" w:hAnsi="Arial" w:cs="Arial"/>
                <w:sz w:val="20"/>
                <w:szCs w:val="20"/>
              </w:rPr>
              <w:t xml:space="preserve">Board </w:t>
            </w:r>
          </w:p>
        </w:tc>
        <w:tc>
          <w:tcPr>
            <w:tcW w:w="1275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1A21D4" w:rsidRDefault="001A21D4" w:rsidP="001A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21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A21D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A21D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21D4">
              <w:rPr>
                <w:rFonts w:ascii="Arial" w:hAnsi="Arial" w:cs="Arial"/>
                <w:sz w:val="20"/>
                <w:szCs w:val="20"/>
              </w:rPr>
              <w:t>24,000,000</w:t>
            </w:r>
          </w:p>
        </w:tc>
      </w:tr>
      <w:tr w:rsidR="001A21D4" w:rsidRPr="001A21D4" w:rsidTr="001A21D4">
        <w:tc>
          <w:tcPr>
            <w:tcW w:w="539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7" w:type="dxa"/>
          </w:tcPr>
          <w:p w:rsidR="001A21D4" w:rsidRPr="001A21D4" w:rsidRDefault="001A21D4" w:rsidP="001A2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1A21D4" w:rsidRPr="001A21D4" w:rsidRDefault="001A21D4" w:rsidP="001A2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1A21D4" w:rsidRPr="001A21D4" w:rsidRDefault="001A21D4" w:rsidP="001A21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21D4">
              <w:rPr>
                <w:rFonts w:ascii="Arial" w:hAnsi="Arial" w:cs="Arial"/>
                <w:b/>
                <w:sz w:val="20"/>
                <w:szCs w:val="20"/>
              </w:rPr>
              <w:t>150,000,000</w:t>
            </w:r>
          </w:p>
        </w:tc>
      </w:tr>
    </w:tbl>
    <w:p w:rsidR="00BA4A0C" w:rsidRPr="00BA4A0C" w:rsidRDefault="00BA4A0C" w:rsidP="00BA4A0C">
      <w:pPr>
        <w:rPr>
          <w:rFonts w:ascii="Arial" w:hAnsi="Arial" w:cs="Arial"/>
          <w:sz w:val="20"/>
          <w:szCs w:val="20"/>
        </w:rPr>
      </w:pPr>
      <w:r w:rsidRPr="00BA4A0C">
        <w:rPr>
          <w:rFonts w:ascii="Arial" w:hAnsi="Arial" w:cs="Arial"/>
          <w:sz w:val="20"/>
          <w:szCs w:val="20"/>
        </w:rPr>
        <w:t>Remuneration is paid monthly and settled at the end of fiscal year.</w:t>
      </w:r>
    </w:p>
    <w:p w:rsidR="00BA4A0C" w:rsidRPr="00BA4A0C" w:rsidRDefault="00BA4A0C" w:rsidP="00BA4A0C">
      <w:pPr>
        <w:rPr>
          <w:rFonts w:ascii="Arial" w:hAnsi="Arial" w:cs="Arial"/>
          <w:sz w:val="20"/>
          <w:szCs w:val="20"/>
        </w:rPr>
      </w:pPr>
      <w:r w:rsidRPr="003742BD">
        <w:rPr>
          <w:rFonts w:ascii="Arial" w:hAnsi="Arial" w:cs="Arial"/>
          <w:b/>
          <w:sz w:val="20"/>
          <w:szCs w:val="20"/>
          <w:u w:val="single"/>
        </w:rPr>
        <w:t>Article 5:</w:t>
      </w:r>
      <w:r w:rsidRPr="00BA4A0C">
        <w:rPr>
          <w:rFonts w:ascii="Arial" w:hAnsi="Arial" w:cs="Arial"/>
          <w:sz w:val="20"/>
          <w:szCs w:val="20"/>
        </w:rPr>
        <w:t xml:space="preserve"> </w:t>
      </w:r>
      <w:r w:rsidR="003742BD">
        <w:rPr>
          <w:rFonts w:ascii="Arial" w:hAnsi="Arial" w:cs="Arial"/>
          <w:sz w:val="20"/>
          <w:szCs w:val="20"/>
        </w:rPr>
        <w:t>To approve</w:t>
      </w:r>
      <w:r w:rsidRPr="00BA4A0C">
        <w:rPr>
          <w:rFonts w:ascii="Arial" w:hAnsi="Arial" w:cs="Arial"/>
          <w:sz w:val="20"/>
          <w:szCs w:val="20"/>
        </w:rPr>
        <w:t xml:space="preserve"> the selection of auditing company:</w:t>
      </w:r>
    </w:p>
    <w:p w:rsidR="00BA4A0C" w:rsidRPr="00BA4A0C" w:rsidRDefault="00BA4A0C" w:rsidP="00BA4A0C">
      <w:pPr>
        <w:rPr>
          <w:rFonts w:ascii="Arial" w:hAnsi="Arial" w:cs="Arial"/>
          <w:sz w:val="20"/>
          <w:szCs w:val="20"/>
        </w:rPr>
      </w:pPr>
      <w:r w:rsidRPr="00BA4A0C">
        <w:rPr>
          <w:rFonts w:ascii="Arial" w:hAnsi="Arial" w:cs="Arial"/>
          <w:sz w:val="20"/>
          <w:szCs w:val="20"/>
        </w:rPr>
        <w:t xml:space="preserve">The General </w:t>
      </w:r>
      <w:r w:rsidR="003742BD">
        <w:rPr>
          <w:rFonts w:ascii="Arial" w:hAnsi="Arial" w:cs="Arial"/>
          <w:sz w:val="20"/>
          <w:szCs w:val="20"/>
        </w:rPr>
        <w:t>Meeting</w:t>
      </w:r>
      <w:r w:rsidRPr="00BA4A0C">
        <w:rPr>
          <w:rFonts w:ascii="Arial" w:hAnsi="Arial" w:cs="Arial"/>
          <w:sz w:val="20"/>
          <w:szCs w:val="20"/>
        </w:rPr>
        <w:t xml:space="preserve"> of Shareholders authorizes the Board of Directors to negotiate and select one of the auditing firms to be considered by the Ministry of Finance and the </w:t>
      </w:r>
      <w:r w:rsidR="005A01B5">
        <w:rPr>
          <w:rFonts w:ascii="Arial" w:hAnsi="Arial" w:cs="Arial"/>
          <w:sz w:val="20"/>
          <w:szCs w:val="20"/>
        </w:rPr>
        <w:t xml:space="preserve">State </w:t>
      </w:r>
      <w:r w:rsidRPr="00BA4A0C">
        <w:rPr>
          <w:rFonts w:ascii="Arial" w:hAnsi="Arial" w:cs="Arial"/>
          <w:sz w:val="20"/>
          <w:szCs w:val="20"/>
        </w:rPr>
        <w:t>Securities Commission as qualified auditors for the public interest company</w:t>
      </w:r>
      <w:r w:rsidR="005A01B5">
        <w:rPr>
          <w:rFonts w:ascii="Arial" w:hAnsi="Arial" w:cs="Arial"/>
          <w:sz w:val="20"/>
          <w:szCs w:val="20"/>
        </w:rPr>
        <w:t xml:space="preserve"> to </w:t>
      </w:r>
      <w:r w:rsidRPr="00BA4A0C">
        <w:rPr>
          <w:rFonts w:ascii="Arial" w:hAnsi="Arial" w:cs="Arial"/>
          <w:sz w:val="20"/>
          <w:szCs w:val="20"/>
        </w:rPr>
        <w:t>audit</w:t>
      </w:r>
      <w:r w:rsidR="005A01B5">
        <w:rPr>
          <w:rFonts w:ascii="Arial" w:hAnsi="Arial" w:cs="Arial"/>
          <w:sz w:val="20"/>
          <w:szCs w:val="20"/>
        </w:rPr>
        <w:t xml:space="preserve"> the</w:t>
      </w:r>
      <w:r w:rsidRPr="00BA4A0C">
        <w:rPr>
          <w:rFonts w:ascii="Arial" w:hAnsi="Arial" w:cs="Arial"/>
          <w:sz w:val="20"/>
          <w:szCs w:val="20"/>
        </w:rPr>
        <w:t xml:space="preserve"> semi-annual financial statements, </w:t>
      </w:r>
      <w:r w:rsidR="005A01B5">
        <w:rPr>
          <w:rFonts w:ascii="Arial" w:hAnsi="Arial" w:cs="Arial"/>
          <w:sz w:val="20"/>
          <w:szCs w:val="20"/>
        </w:rPr>
        <w:t>the 2017</w:t>
      </w:r>
      <w:r w:rsidRPr="00BA4A0C">
        <w:rPr>
          <w:rFonts w:ascii="Arial" w:hAnsi="Arial" w:cs="Arial"/>
          <w:sz w:val="20"/>
          <w:szCs w:val="20"/>
        </w:rPr>
        <w:t xml:space="preserve"> financial statements and </w:t>
      </w:r>
      <w:r w:rsidR="005A01B5">
        <w:rPr>
          <w:rFonts w:ascii="Arial" w:hAnsi="Arial" w:cs="Arial"/>
          <w:sz w:val="20"/>
          <w:szCs w:val="20"/>
        </w:rPr>
        <w:t>the</w:t>
      </w:r>
      <w:r w:rsidRPr="00BA4A0C">
        <w:rPr>
          <w:rFonts w:ascii="Arial" w:hAnsi="Arial" w:cs="Arial"/>
          <w:sz w:val="20"/>
          <w:szCs w:val="20"/>
        </w:rPr>
        <w:t xml:space="preserve"> </w:t>
      </w:r>
      <w:r w:rsidR="005A01B5">
        <w:rPr>
          <w:rFonts w:ascii="Arial" w:hAnsi="Arial" w:cs="Arial"/>
          <w:sz w:val="20"/>
          <w:szCs w:val="20"/>
        </w:rPr>
        <w:t>building investment</w:t>
      </w:r>
      <w:r w:rsidRPr="00BA4A0C">
        <w:rPr>
          <w:rFonts w:ascii="Arial" w:hAnsi="Arial" w:cs="Arial"/>
          <w:sz w:val="20"/>
          <w:szCs w:val="20"/>
        </w:rPr>
        <w:t xml:space="preserve"> of Song Da Investment and Construction Joint Stock Company.</w:t>
      </w:r>
    </w:p>
    <w:p w:rsidR="00AC2B99" w:rsidRDefault="00BA4A0C" w:rsidP="00BA4A0C">
      <w:pPr>
        <w:rPr>
          <w:rFonts w:ascii="Arial" w:hAnsi="Arial" w:cs="Arial"/>
          <w:sz w:val="20"/>
          <w:szCs w:val="20"/>
        </w:rPr>
      </w:pPr>
      <w:r w:rsidRPr="005A01B5">
        <w:rPr>
          <w:rFonts w:ascii="Arial" w:hAnsi="Arial" w:cs="Arial"/>
          <w:b/>
          <w:sz w:val="20"/>
          <w:szCs w:val="20"/>
          <w:u w:val="single"/>
        </w:rPr>
        <w:t>Article 6:</w:t>
      </w:r>
      <w:r w:rsidRPr="00BA4A0C">
        <w:rPr>
          <w:rFonts w:ascii="Arial" w:hAnsi="Arial" w:cs="Arial"/>
          <w:sz w:val="20"/>
          <w:szCs w:val="20"/>
        </w:rPr>
        <w:t xml:space="preserve"> </w:t>
      </w:r>
      <w:r w:rsidR="005A01B5">
        <w:rPr>
          <w:rFonts w:ascii="Arial" w:hAnsi="Arial" w:cs="Arial"/>
          <w:sz w:val="20"/>
          <w:szCs w:val="20"/>
        </w:rPr>
        <w:t>To approve</w:t>
      </w:r>
      <w:r w:rsidR="005A01B5" w:rsidRPr="00BA4A0C">
        <w:rPr>
          <w:rFonts w:ascii="Arial" w:hAnsi="Arial" w:cs="Arial"/>
          <w:sz w:val="20"/>
          <w:szCs w:val="20"/>
        </w:rPr>
        <w:t xml:space="preserve"> the </w:t>
      </w:r>
      <w:r w:rsidRPr="00BA4A0C">
        <w:rPr>
          <w:rFonts w:ascii="Arial" w:hAnsi="Arial" w:cs="Arial"/>
          <w:sz w:val="20"/>
          <w:szCs w:val="20"/>
        </w:rPr>
        <w:t xml:space="preserve">profit distribution, dividend payment </w:t>
      </w:r>
      <w:r w:rsidR="005A01B5" w:rsidRPr="00BA4A0C">
        <w:rPr>
          <w:rFonts w:ascii="Arial" w:hAnsi="Arial" w:cs="Arial"/>
          <w:sz w:val="20"/>
          <w:szCs w:val="20"/>
        </w:rPr>
        <w:t>plan</w:t>
      </w:r>
      <w:r w:rsidR="005A01B5">
        <w:rPr>
          <w:rFonts w:ascii="Arial" w:hAnsi="Arial" w:cs="Arial"/>
          <w:sz w:val="20"/>
          <w:szCs w:val="20"/>
        </w:rPr>
        <w:t xml:space="preserve"> </w:t>
      </w:r>
      <w:r w:rsidRPr="00BA4A0C">
        <w:rPr>
          <w:rFonts w:ascii="Arial" w:hAnsi="Arial" w:cs="Arial"/>
          <w:sz w:val="20"/>
          <w:szCs w:val="20"/>
        </w:rPr>
        <w:t>in 2016 (Unit: VND)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64"/>
      </w:tblGrid>
      <w:tr w:rsidR="008229C9" w:rsidRPr="008229C9" w:rsidTr="008229C9">
        <w:tc>
          <w:tcPr>
            <w:tcW w:w="959" w:type="dxa"/>
          </w:tcPr>
          <w:p w:rsidR="008229C9" w:rsidRPr="008229C9" w:rsidRDefault="008229C9" w:rsidP="0082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9C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953" w:type="dxa"/>
          </w:tcPr>
          <w:p w:rsidR="008229C9" w:rsidRPr="008229C9" w:rsidRDefault="008229C9" w:rsidP="0082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9C9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2664" w:type="dxa"/>
          </w:tcPr>
          <w:p w:rsidR="008229C9" w:rsidRPr="008229C9" w:rsidRDefault="008229C9" w:rsidP="0082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9C9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8229C9" w:rsidRPr="00891100" w:rsidTr="008229C9">
        <w:tc>
          <w:tcPr>
            <w:tcW w:w="959" w:type="dxa"/>
          </w:tcPr>
          <w:p w:rsidR="008229C9" w:rsidRPr="00891100" w:rsidRDefault="008229C9" w:rsidP="0082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10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953" w:type="dxa"/>
          </w:tcPr>
          <w:p w:rsidR="008229C9" w:rsidRPr="00891100" w:rsidRDefault="00891100" w:rsidP="00BA4A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100">
              <w:rPr>
                <w:rFonts w:ascii="Arial" w:hAnsi="Arial" w:cs="Arial"/>
                <w:b/>
                <w:sz w:val="20"/>
                <w:szCs w:val="20"/>
              </w:rPr>
              <w:t>Profit distribution plan</w:t>
            </w:r>
          </w:p>
        </w:tc>
        <w:tc>
          <w:tcPr>
            <w:tcW w:w="2664" w:type="dxa"/>
          </w:tcPr>
          <w:p w:rsidR="008229C9" w:rsidRPr="00891100" w:rsidRDefault="008229C9" w:rsidP="008229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00" w:rsidTr="008229C9">
        <w:tc>
          <w:tcPr>
            <w:tcW w:w="959" w:type="dxa"/>
          </w:tcPr>
          <w:p w:rsidR="00891100" w:rsidRDefault="00891100" w:rsidP="0082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953" w:type="dxa"/>
          </w:tcPr>
          <w:p w:rsidR="00891100" w:rsidRDefault="00891100" w:rsidP="00BA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Retained profit after tax in 2015</w:t>
            </w:r>
          </w:p>
        </w:tc>
        <w:tc>
          <w:tcPr>
            <w:tcW w:w="2664" w:type="dxa"/>
          </w:tcPr>
          <w:p w:rsidR="00891100" w:rsidRDefault="00891100" w:rsidP="00822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1100">
              <w:rPr>
                <w:rFonts w:ascii="Arial" w:hAnsi="Arial" w:cs="Arial"/>
                <w:sz w:val="20"/>
                <w:szCs w:val="20"/>
              </w:rPr>
              <w:t>1,553,712,472</w:t>
            </w:r>
          </w:p>
        </w:tc>
      </w:tr>
      <w:tr w:rsidR="00891100" w:rsidTr="008229C9">
        <w:tc>
          <w:tcPr>
            <w:tcW w:w="959" w:type="dxa"/>
          </w:tcPr>
          <w:p w:rsidR="00891100" w:rsidRDefault="00891100" w:rsidP="0082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891100" w:rsidRDefault="00891100" w:rsidP="00BA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 after corporate income tax in 2016</w:t>
            </w:r>
          </w:p>
        </w:tc>
        <w:tc>
          <w:tcPr>
            <w:tcW w:w="2664" w:type="dxa"/>
          </w:tcPr>
          <w:p w:rsidR="00891100" w:rsidRPr="00891100" w:rsidRDefault="00891100" w:rsidP="008911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1100">
              <w:rPr>
                <w:rFonts w:ascii="Arial" w:hAnsi="Arial" w:cs="Arial"/>
                <w:sz w:val="20"/>
                <w:szCs w:val="20"/>
              </w:rPr>
              <w:t>-3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1100">
              <w:rPr>
                <w:rFonts w:ascii="Arial" w:hAnsi="Arial" w:cs="Arial"/>
                <w:sz w:val="20"/>
                <w:szCs w:val="20"/>
              </w:rPr>
              <w:t>470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1100">
              <w:rPr>
                <w:rFonts w:ascii="Arial" w:hAnsi="Arial" w:cs="Arial"/>
                <w:sz w:val="20"/>
                <w:szCs w:val="20"/>
              </w:rPr>
              <w:t>047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1100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</w:tr>
      <w:tr w:rsidR="00891100" w:rsidTr="008229C9">
        <w:tc>
          <w:tcPr>
            <w:tcW w:w="959" w:type="dxa"/>
          </w:tcPr>
          <w:p w:rsidR="00891100" w:rsidRDefault="00891100" w:rsidP="0082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891100" w:rsidRDefault="00891100" w:rsidP="00BA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undistributed profit after corporate income tax </w:t>
            </w:r>
          </w:p>
        </w:tc>
        <w:tc>
          <w:tcPr>
            <w:tcW w:w="2664" w:type="dxa"/>
          </w:tcPr>
          <w:p w:rsidR="00891100" w:rsidRPr="00891100" w:rsidRDefault="00891100" w:rsidP="0060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1100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1100">
              <w:rPr>
                <w:rFonts w:ascii="Arial" w:hAnsi="Arial" w:cs="Arial"/>
                <w:sz w:val="20"/>
                <w:szCs w:val="20"/>
              </w:rPr>
              <w:t>916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1100">
              <w:rPr>
                <w:rFonts w:ascii="Arial" w:hAnsi="Arial" w:cs="Arial"/>
                <w:sz w:val="20"/>
                <w:szCs w:val="20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1100">
              <w:rPr>
                <w:rFonts w:ascii="Arial" w:hAnsi="Arial" w:cs="Arial"/>
                <w:sz w:val="20"/>
                <w:szCs w:val="20"/>
              </w:rPr>
              <w:t>854</w:t>
            </w:r>
          </w:p>
        </w:tc>
      </w:tr>
      <w:tr w:rsidR="00606121" w:rsidTr="008229C9">
        <w:tc>
          <w:tcPr>
            <w:tcW w:w="959" w:type="dxa"/>
          </w:tcPr>
          <w:p w:rsidR="00606121" w:rsidRDefault="00606121" w:rsidP="0082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606121" w:rsidRDefault="00606121" w:rsidP="00BA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Funds</w:t>
            </w:r>
          </w:p>
        </w:tc>
        <w:tc>
          <w:tcPr>
            <w:tcW w:w="2664" w:type="dxa"/>
          </w:tcPr>
          <w:p w:rsidR="00606121" w:rsidRPr="00891100" w:rsidRDefault="00606121" w:rsidP="008911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6121" w:rsidRPr="00606121" w:rsidTr="008229C9">
        <w:tc>
          <w:tcPr>
            <w:tcW w:w="959" w:type="dxa"/>
          </w:tcPr>
          <w:p w:rsidR="00606121" w:rsidRPr="00606121" w:rsidRDefault="00606121" w:rsidP="008229C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953" w:type="dxa"/>
          </w:tcPr>
          <w:p w:rsidR="00606121" w:rsidRPr="00606121" w:rsidRDefault="00606121" w:rsidP="00BA4A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6121">
              <w:rPr>
                <w:rFonts w:ascii="Arial" w:hAnsi="Arial" w:cs="Arial"/>
                <w:i/>
                <w:sz w:val="20"/>
                <w:szCs w:val="20"/>
              </w:rPr>
              <w:t>- Financial reserve fund (5%)</w:t>
            </w:r>
          </w:p>
        </w:tc>
        <w:tc>
          <w:tcPr>
            <w:tcW w:w="2664" w:type="dxa"/>
          </w:tcPr>
          <w:p w:rsidR="00606121" w:rsidRPr="00606121" w:rsidRDefault="00606121" w:rsidP="00891100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606121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606121" w:rsidRPr="00606121" w:rsidTr="008229C9">
        <w:tc>
          <w:tcPr>
            <w:tcW w:w="959" w:type="dxa"/>
          </w:tcPr>
          <w:p w:rsidR="00606121" w:rsidRPr="00606121" w:rsidRDefault="00606121" w:rsidP="008229C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953" w:type="dxa"/>
          </w:tcPr>
          <w:p w:rsidR="00606121" w:rsidRPr="00606121" w:rsidRDefault="00606121" w:rsidP="00BA4A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6121">
              <w:rPr>
                <w:rFonts w:ascii="Arial" w:hAnsi="Arial" w:cs="Arial"/>
                <w:i/>
                <w:sz w:val="20"/>
                <w:szCs w:val="20"/>
              </w:rPr>
              <w:t>- Reward, welfare fund (10%)</w:t>
            </w:r>
          </w:p>
        </w:tc>
        <w:tc>
          <w:tcPr>
            <w:tcW w:w="2664" w:type="dxa"/>
          </w:tcPr>
          <w:p w:rsidR="00606121" w:rsidRPr="00606121" w:rsidRDefault="00606121" w:rsidP="00891100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606121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606121" w:rsidTr="008229C9">
        <w:tc>
          <w:tcPr>
            <w:tcW w:w="959" w:type="dxa"/>
          </w:tcPr>
          <w:p w:rsidR="00606121" w:rsidRDefault="00606121" w:rsidP="0082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606121" w:rsidRDefault="00606121" w:rsidP="00BA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Remaining profit after tax in 2016</w:t>
            </w:r>
          </w:p>
        </w:tc>
        <w:tc>
          <w:tcPr>
            <w:tcW w:w="2664" w:type="dxa"/>
          </w:tcPr>
          <w:p w:rsidR="00606121" w:rsidRDefault="00606121" w:rsidP="0060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121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6121">
              <w:rPr>
                <w:rFonts w:ascii="Arial" w:hAnsi="Arial" w:cs="Arial"/>
                <w:sz w:val="20"/>
                <w:szCs w:val="20"/>
              </w:rPr>
              <w:t>916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6121">
              <w:rPr>
                <w:rFonts w:ascii="Arial" w:hAnsi="Arial" w:cs="Arial"/>
                <w:sz w:val="20"/>
                <w:szCs w:val="20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6121">
              <w:rPr>
                <w:rFonts w:ascii="Arial" w:hAnsi="Arial" w:cs="Arial"/>
                <w:sz w:val="20"/>
                <w:szCs w:val="20"/>
              </w:rPr>
              <w:t>854</w:t>
            </w:r>
          </w:p>
        </w:tc>
      </w:tr>
      <w:tr w:rsidR="00606121" w:rsidTr="008229C9">
        <w:tc>
          <w:tcPr>
            <w:tcW w:w="959" w:type="dxa"/>
          </w:tcPr>
          <w:p w:rsidR="00606121" w:rsidRDefault="00606121" w:rsidP="0082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606121" w:rsidRDefault="00606121" w:rsidP="00BA4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Remaining capital surplus in 2016</w:t>
            </w:r>
          </w:p>
        </w:tc>
        <w:tc>
          <w:tcPr>
            <w:tcW w:w="2664" w:type="dxa"/>
          </w:tcPr>
          <w:p w:rsidR="00606121" w:rsidRPr="00606121" w:rsidRDefault="00606121" w:rsidP="0060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121">
              <w:rPr>
                <w:rFonts w:ascii="Arial" w:hAnsi="Arial" w:cs="Arial"/>
                <w:sz w:val="20"/>
                <w:szCs w:val="20"/>
              </w:rPr>
              <w:t>48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6121">
              <w:rPr>
                <w:rFonts w:ascii="Arial" w:hAnsi="Arial" w:cs="Arial"/>
                <w:sz w:val="20"/>
                <w:szCs w:val="20"/>
              </w:rPr>
              <w:t>603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6121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</w:tr>
      <w:tr w:rsidR="00606121" w:rsidRPr="00B26A69" w:rsidTr="008229C9">
        <w:tc>
          <w:tcPr>
            <w:tcW w:w="959" w:type="dxa"/>
          </w:tcPr>
          <w:p w:rsidR="00606121" w:rsidRPr="00B26A69" w:rsidRDefault="00606121" w:rsidP="0082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A6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606121" w:rsidRPr="00B26A69" w:rsidRDefault="00B26A69" w:rsidP="00B26A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A69">
              <w:rPr>
                <w:rFonts w:ascii="Arial" w:hAnsi="Arial" w:cs="Arial"/>
                <w:b/>
                <w:sz w:val="20"/>
                <w:szCs w:val="20"/>
              </w:rPr>
              <w:t>Profit after tax and remaining capital surplus in 2016</w:t>
            </w:r>
          </w:p>
        </w:tc>
        <w:tc>
          <w:tcPr>
            <w:tcW w:w="2664" w:type="dxa"/>
          </w:tcPr>
          <w:p w:rsidR="00606121" w:rsidRPr="00B26A69" w:rsidRDefault="00B26A69" w:rsidP="00B26A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6A69">
              <w:rPr>
                <w:rFonts w:ascii="Arial" w:hAnsi="Arial" w:cs="Arial"/>
                <w:b/>
                <w:sz w:val="20"/>
                <w:szCs w:val="20"/>
              </w:rPr>
              <w:t>-1,867,731,395</w:t>
            </w:r>
          </w:p>
        </w:tc>
      </w:tr>
      <w:tr w:rsidR="00B26A69" w:rsidRPr="00B26A69" w:rsidTr="008229C9">
        <w:tc>
          <w:tcPr>
            <w:tcW w:w="959" w:type="dxa"/>
          </w:tcPr>
          <w:p w:rsidR="00B26A69" w:rsidRPr="00B26A69" w:rsidRDefault="00B26A69" w:rsidP="0082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A6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B26A69" w:rsidRPr="00B26A69" w:rsidRDefault="00B26A69" w:rsidP="00B26A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A69">
              <w:rPr>
                <w:rFonts w:ascii="Arial" w:hAnsi="Arial" w:cs="Arial"/>
                <w:b/>
                <w:sz w:val="20"/>
                <w:szCs w:val="20"/>
              </w:rPr>
              <w:t>Charter capital</w:t>
            </w:r>
          </w:p>
        </w:tc>
        <w:tc>
          <w:tcPr>
            <w:tcW w:w="2664" w:type="dxa"/>
          </w:tcPr>
          <w:p w:rsidR="00B26A69" w:rsidRPr="00B26A69" w:rsidRDefault="00B26A69" w:rsidP="00B26A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6A69">
              <w:rPr>
                <w:rFonts w:ascii="Arial" w:hAnsi="Arial" w:cs="Arial"/>
                <w:b/>
                <w:sz w:val="20"/>
                <w:szCs w:val="20"/>
              </w:rPr>
              <w:t>160,076,850,000</w:t>
            </w:r>
          </w:p>
        </w:tc>
      </w:tr>
      <w:tr w:rsidR="00B26A69" w:rsidRPr="00B26A69" w:rsidTr="008229C9">
        <w:tc>
          <w:tcPr>
            <w:tcW w:w="959" w:type="dxa"/>
          </w:tcPr>
          <w:p w:rsidR="00B26A69" w:rsidRPr="00B26A69" w:rsidRDefault="00B26A69" w:rsidP="0082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A6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B26A69" w:rsidRPr="00B26A69" w:rsidRDefault="00B26A69" w:rsidP="00B26A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A69">
              <w:rPr>
                <w:rFonts w:ascii="Arial" w:hAnsi="Arial" w:cs="Arial"/>
                <w:b/>
                <w:sz w:val="20"/>
                <w:szCs w:val="20"/>
              </w:rPr>
              <w:t>Dividend payout ratio from capital surplus and profit</w:t>
            </w:r>
          </w:p>
        </w:tc>
        <w:tc>
          <w:tcPr>
            <w:tcW w:w="2664" w:type="dxa"/>
          </w:tcPr>
          <w:p w:rsidR="00B26A69" w:rsidRPr="00B26A69" w:rsidRDefault="00B26A69" w:rsidP="00B26A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6A69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B26A69" w:rsidTr="008229C9">
        <w:tc>
          <w:tcPr>
            <w:tcW w:w="959" w:type="dxa"/>
          </w:tcPr>
          <w:p w:rsidR="00B26A69" w:rsidRDefault="00B26A69" w:rsidP="0082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B26A69" w:rsidRDefault="003F3559" w:rsidP="00B2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Dividend payment in 2016</w:t>
            </w:r>
          </w:p>
        </w:tc>
        <w:tc>
          <w:tcPr>
            <w:tcW w:w="2664" w:type="dxa"/>
          </w:tcPr>
          <w:p w:rsidR="00B26A69" w:rsidRDefault="003F3559" w:rsidP="00B26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F3559" w:rsidTr="008229C9">
        <w:tc>
          <w:tcPr>
            <w:tcW w:w="959" w:type="dxa"/>
          </w:tcPr>
          <w:p w:rsidR="003F3559" w:rsidRDefault="003F3559" w:rsidP="0082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3F3559" w:rsidRDefault="003F3559" w:rsidP="00B2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Remaining capital surplus in 2016</w:t>
            </w:r>
          </w:p>
        </w:tc>
        <w:tc>
          <w:tcPr>
            <w:tcW w:w="2664" w:type="dxa"/>
          </w:tcPr>
          <w:p w:rsidR="003F3559" w:rsidRDefault="003F3559" w:rsidP="00B26A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A69">
              <w:rPr>
                <w:rFonts w:ascii="Arial" w:hAnsi="Arial" w:cs="Arial"/>
                <w:b/>
                <w:sz w:val="20"/>
                <w:szCs w:val="20"/>
              </w:rPr>
              <w:t>-1,867,731,395</w:t>
            </w:r>
          </w:p>
        </w:tc>
      </w:tr>
    </w:tbl>
    <w:p w:rsidR="00E26C6F" w:rsidRPr="00E26C6F" w:rsidRDefault="00E26C6F" w:rsidP="00E26C6F">
      <w:pPr>
        <w:rPr>
          <w:rFonts w:ascii="Arial" w:hAnsi="Arial" w:cs="Arial"/>
          <w:sz w:val="20"/>
          <w:szCs w:val="20"/>
        </w:rPr>
      </w:pPr>
      <w:r w:rsidRPr="00E26C6F">
        <w:rPr>
          <w:rFonts w:ascii="Arial" w:hAnsi="Arial" w:cs="Arial"/>
          <w:sz w:val="20"/>
          <w:szCs w:val="20"/>
        </w:rPr>
        <w:t xml:space="preserve">Due to the fact that the company is concentrating </w:t>
      </w:r>
      <w:r>
        <w:rPr>
          <w:rFonts w:ascii="Arial" w:hAnsi="Arial" w:cs="Arial"/>
          <w:sz w:val="20"/>
          <w:szCs w:val="20"/>
        </w:rPr>
        <w:t xml:space="preserve">investment in </w:t>
      </w:r>
      <w:r w:rsidRPr="00E26C6F">
        <w:rPr>
          <w:rFonts w:ascii="Arial" w:hAnsi="Arial" w:cs="Arial"/>
          <w:sz w:val="20"/>
          <w:szCs w:val="20"/>
        </w:rPr>
        <w:t xml:space="preserve">some licensed projects, high interest rate and low construction </w:t>
      </w:r>
      <w:r>
        <w:rPr>
          <w:rFonts w:ascii="Arial" w:hAnsi="Arial" w:cs="Arial"/>
          <w:sz w:val="20"/>
          <w:szCs w:val="20"/>
        </w:rPr>
        <w:t>output without profit</w:t>
      </w:r>
      <w:r w:rsidRPr="00E26C6F">
        <w:rPr>
          <w:rFonts w:ascii="Arial" w:hAnsi="Arial" w:cs="Arial"/>
          <w:sz w:val="20"/>
          <w:szCs w:val="20"/>
        </w:rPr>
        <w:t>, the General Meeting of Shareholders approve</w:t>
      </w:r>
      <w:r>
        <w:rPr>
          <w:rFonts w:ascii="Arial" w:hAnsi="Arial" w:cs="Arial"/>
          <w:sz w:val="20"/>
          <w:szCs w:val="20"/>
        </w:rPr>
        <w:t>d</w:t>
      </w:r>
      <w:r w:rsidRPr="00E26C6F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non-</w:t>
      </w:r>
      <w:r w:rsidRPr="00E26C6F">
        <w:rPr>
          <w:rFonts w:ascii="Arial" w:hAnsi="Arial" w:cs="Arial"/>
          <w:sz w:val="20"/>
          <w:szCs w:val="20"/>
        </w:rPr>
        <w:t>dividend payment plan in 2016.</w:t>
      </w:r>
    </w:p>
    <w:p w:rsidR="00E26C6F" w:rsidRPr="00E26C6F" w:rsidRDefault="00E26C6F" w:rsidP="00E26C6F">
      <w:pPr>
        <w:rPr>
          <w:rFonts w:ascii="Arial" w:hAnsi="Arial" w:cs="Arial"/>
          <w:sz w:val="20"/>
          <w:szCs w:val="20"/>
        </w:rPr>
      </w:pPr>
      <w:r w:rsidRPr="00E26C6F">
        <w:rPr>
          <w:rFonts w:ascii="Arial" w:hAnsi="Arial" w:cs="Arial"/>
          <w:b/>
          <w:sz w:val="20"/>
          <w:szCs w:val="20"/>
          <w:u w:val="single"/>
        </w:rPr>
        <w:t>Article 7:</w:t>
      </w:r>
      <w:r w:rsidRPr="00E26C6F">
        <w:rPr>
          <w:rFonts w:ascii="Arial" w:hAnsi="Arial" w:cs="Arial"/>
          <w:sz w:val="20"/>
          <w:szCs w:val="20"/>
        </w:rPr>
        <w:t xml:space="preserve"> The General Meeting of Shareholders </w:t>
      </w:r>
      <w:r>
        <w:rPr>
          <w:rFonts w:ascii="Arial" w:hAnsi="Arial" w:cs="Arial"/>
          <w:sz w:val="20"/>
          <w:szCs w:val="20"/>
        </w:rPr>
        <w:t>agreed to</w:t>
      </w:r>
      <w:r w:rsidRPr="00E26C6F">
        <w:rPr>
          <w:rFonts w:ascii="Arial" w:hAnsi="Arial" w:cs="Arial"/>
          <w:sz w:val="20"/>
          <w:szCs w:val="20"/>
        </w:rPr>
        <w:t xml:space="preserve"> authorize the Board of Directors to organize the implementation of the approved </w:t>
      </w:r>
      <w:r>
        <w:rPr>
          <w:rFonts w:ascii="Arial" w:hAnsi="Arial" w:cs="Arial"/>
          <w:sz w:val="20"/>
          <w:szCs w:val="20"/>
        </w:rPr>
        <w:t>content</w:t>
      </w:r>
      <w:r w:rsidRPr="00E26C6F">
        <w:rPr>
          <w:rFonts w:ascii="Arial" w:hAnsi="Arial" w:cs="Arial"/>
          <w:sz w:val="20"/>
          <w:szCs w:val="20"/>
        </w:rPr>
        <w:t xml:space="preserve">s in the General Meeting and adjust the </w:t>
      </w:r>
      <w:r>
        <w:rPr>
          <w:rFonts w:ascii="Arial" w:hAnsi="Arial" w:cs="Arial"/>
          <w:sz w:val="20"/>
          <w:szCs w:val="20"/>
        </w:rPr>
        <w:t xml:space="preserve">production and </w:t>
      </w:r>
      <w:r w:rsidRPr="00E26C6F">
        <w:rPr>
          <w:rFonts w:ascii="Arial" w:hAnsi="Arial" w:cs="Arial"/>
          <w:sz w:val="20"/>
          <w:szCs w:val="20"/>
        </w:rPr>
        <w:t>business plan (if any) as well as the implementation of the plan</w:t>
      </w:r>
      <w:r>
        <w:rPr>
          <w:rFonts w:ascii="Arial" w:hAnsi="Arial" w:cs="Arial"/>
          <w:sz w:val="20"/>
          <w:szCs w:val="20"/>
        </w:rPr>
        <w:t xml:space="preserve"> of</w:t>
      </w:r>
      <w:r w:rsidRPr="00E26C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 w:rsidRPr="00E26C6F">
        <w:rPr>
          <w:rFonts w:ascii="Arial" w:hAnsi="Arial" w:cs="Arial"/>
          <w:sz w:val="20"/>
          <w:szCs w:val="20"/>
        </w:rPr>
        <w:t>ydropower construction investment and decid</w:t>
      </w:r>
      <w:r>
        <w:rPr>
          <w:rFonts w:ascii="Arial" w:hAnsi="Arial" w:cs="Arial"/>
          <w:sz w:val="20"/>
          <w:szCs w:val="20"/>
        </w:rPr>
        <w:t>e</w:t>
      </w:r>
      <w:r w:rsidRPr="00E26C6F">
        <w:rPr>
          <w:rFonts w:ascii="Arial" w:hAnsi="Arial" w:cs="Arial"/>
          <w:sz w:val="20"/>
          <w:szCs w:val="20"/>
        </w:rPr>
        <w:t xml:space="preserve"> on the </w:t>
      </w:r>
      <w:r>
        <w:rPr>
          <w:rFonts w:ascii="Arial" w:hAnsi="Arial" w:cs="Arial"/>
          <w:sz w:val="20"/>
          <w:szCs w:val="20"/>
        </w:rPr>
        <w:t>subsequent plans</w:t>
      </w:r>
      <w:r w:rsidRPr="00E26C6F">
        <w:rPr>
          <w:rFonts w:ascii="Arial" w:hAnsi="Arial" w:cs="Arial"/>
          <w:sz w:val="20"/>
          <w:szCs w:val="20"/>
        </w:rPr>
        <w:t xml:space="preserve"> (transfer or </w:t>
      </w:r>
      <w:r>
        <w:rPr>
          <w:rFonts w:ascii="Arial" w:hAnsi="Arial" w:cs="Arial"/>
          <w:sz w:val="20"/>
          <w:szCs w:val="20"/>
        </w:rPr>
        <w:t>further</w:t>
      </w:r>
      <w:r w:rsidRPr="00E26C6F">
        <w:rPr>
          <w:rFonts w:ascii="Arial" w:hAnsi="Arial" w:cs="Arial"/>
          <w:sz w:val="20"/>
          <w:szCs w:val="20"/>
        </w:rPr>
        <w:t xml:space="preserve"> construction investment) for hydropower projects that have been and will be licensed to ensure economic efficiency for the Company.</w:t>
      </w:r>
    </w:p>
    <w:p w:rsidR="00E26C6F" w:rsidRPr="00E26C6F" w:rsidRDefault="00E26C6F" w:rsidP="00E26C6F">
      <w:pPr>
        <w:rPr>
          <w:rFonts w:ascii="Arial" w:hAnsi="Arial" w:cs="Arial"/>
          <w:sz w:val="20"/>
          <w:szCs w:val="20"/>
        </w:rPr>
      </w:pPr>
      <w:r w:rsidRPr="00E26C6F">
        <w:rPr>
          <w:rFonts w:ascii="Arial" w:hAnsi="Arial" w:cs="Arial"/>
          <w:b/>
          <w:sz w:val="20"/>
          <w:szCs w:val="20"/>
          <w:u w:val="single"/>
        </w:rPr>
        <w:t>Article 8:</w:t>
      </w:r>
      <w:r w:rsidRPr="00E26C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E26C6F">
        <w:rPr>
          <w:rFonts w:ascii="Arial" w:hAnsi="Arial" w:cs="Arial"/>
          <w:sz w:val="20"/>
          <w:szCs w:val="20"/>
        </w:rPr>
        <w:t>mplementation:</w:t>
      </w:r>
    </w:p>
    <w:p w:rsidR="00E26C6F" w:rsidRPr="00E26C6F" w:rsidRDefault="00E26C6F" w:rsidP="00E26C6F">
      <w:pPr>
        <w:rPr>
          <w:rFonts w:ascii="Arial" w:hAnsi="Arial" w:cs="Arial"/>
          <w:sz w:val="20"/>
          <w:szCs w:val="20"/>
        </w:rPr>
      </w:pPr>
      <w:r w:rsidRPr="00E26C6F">
        <w:rPr>
          <w:rFonts w:ascii="Arial" w:hAnsi="Arial" w:cs="Arial"/>
          <w:sz w:val="20"/>
          <w:szCs w:val="20"/>
        </w:rPr>
        <w:t xml:space="preserve">- The General </w:t>
      </w:r>
      <w:r>
        <w:rPr>
          <w:rFonts w:ascii="Arial" w:hAnsi="Arial" w:cs="Arial"/>
          <w:sz w:val="20"/>
          <w:szCs w:val="20"/>
        </w:rPr>
        <w:t>Meeting</w:t>
      </w:r>
      <w:r w:rsidRPr="00E26C6F">
        <w:rPr>
          <w:rFonts w:ascii="Arial" w:hAnsi="Arial" w:cs="Arial"/>
          <w:sz w:val="20"/>
          <w:szCs w:val="20"/>
        </w:rPr>
        <w:t xml:space="preserve"> of Shareholders </w:t>
      </w:r>
      <w:r>
        <w:rPr>
          <w:rFonts w:ascii="Arial" w:hAnsi="Arial" w:cs="Arial"/>
          <w:sz w:val="20"/>
          <w:szCs w:val="20"/>
        </w:rPr>
        <w:t>agreed to</w:t>
      </w:r>
      <w:r w:rsidRPr="00E26C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assign</w:t>
      </w:r>
      <w:r w:rsidRPr="00E26C6F">
        <w:rPr>
          <w:rFonts w:ascii="Arial" w:hAnsi="Arial" w:cs="Arial"/>
          <w:sz w:val="20"/>
          <w:szCs w:val="20"/>
        </w:rPr>
        <w:t xml:space="preserve"> the Bo</w:t>
      </w:r>
      <w:r>
        <w:rPr>
          <w:rFonts w:ascii="Arial" w:hAnsi="Arial" w:cs="Arial"/>
          <w:sz w:val="20"/>
          <w:szCs w:val="20"/>
        </w:rPr>
        <w:t xml:space="preserve">ard of </w:t>
      </w:r>
      <w:r w:rsidRPr="00E26C6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irectors</w:t>
      </w:r>
      <w:r w:rsidRPr="00E26C6F">
        <w:rPr>
          <w:rFonts w:ascii="Arial" w:hAnsi="Arial" w:cs="Arial"/>
          <w:sz w:val="20"/>
          <w:szCs w:val="20"/>
        </w:rPr>
        <w:t xml:space="preserve"> of Song Da Investment and Construction Joint Stock Company to finalize the </w:t>
      </w:r>
      <w:r>
        <w:rPr>
          <w:rFonts w:ascii="Arial" w:hAnsi="Arial" w:cs="Arial"/>
          <w:sz w:val="20"/>
          <w:szCs w:val="20"/>
        </w:rPr>
        <w:t>decision</w:t>
      </w:r>
      <w:r w:rsidRPr="00E26C6F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approved</w:t>
      </w:r>
      <w:r w:rsidRPr="00E26C6F">
        <w:rPr>
          <w:rFonts w:ascii="Arial" w:hAnsi="Arial" w:cs="Arial"/>
          <w:sz w:val="20"/>
          <w:szCs w:val="20"/>
        </w:rPr>
        <w:t xml:space="preserve"> at the 2017 Annual General Meeting of Shareholders and implement the </w:t>
      </w:r>
      <w:r>
        <w:rPr>
          <w:rFonts w:ascii="Arial" w:hAnsi="Arial" w:cs="Arial"/>
          <w:sz w:val="20"/>
          <w:szCs w:val="20"/>
        </w:rPr>
        <w:t>c</w:t>
      </w:r>
      <w:r w:rsidRPr="00E26C6F">
        <w:rPr>
          <w:rFonts w:ascii="Arial" w:hAnsi="Arial" w:cs="Arial"/>
          <w:sz w:val="20"/>
          <w:szCs w:val="20"/>
        </w:rPr>
        <w:t>ontent</w:t>
      </w:r>
      <w:r>
        <w:rPr>
          <w:rFonts w:ascii="Arial" w:hAnsi="Arial" w:cs="Arial"/>
          <w:sz w:val="20"/>
          <w:szCs w:val="20"/>
        </w:rPr>
        <w:t>s</w:t>
      </w:r>
      <w:r w:rsidRPr="00E26C6F">
        <w:rPr>
          <w:rFonts w:ascii="Arial" w:hAnsi="Arial" w:cs="Arial"/>
          <w:sz w:val="20"/>
          <w:szCs w:val="20"/>
        </w:rPr>
        <w:t xml:space="preserve"> mentioned in this Resolution.</w:t>
      </w:r>
    </w:p>
    <w:p w:rsidR="005A01B5" w:rsidRPr="004B3943" w:rsidRDefault="00E26C6F" w:rsidP="00E26C6F">
      <w:pPr>
        <w:rPr>
          <w:rFonts w:ascii="Arial" w:hAnsi="Arial" w:cs="Arial"/>
          <w:sz w:val="20"/>
          <w:szCs w:val="20"/>
        </w:rPr>
      </w:pPr>
      <w:r w:rsidRPr="00E26C6F">
        <w:rPr>
          <w:rFonts w:ascii="Arial" w:hAnsi="Arial" w:cs="Arial"/>
          <w:sz w:val="20"/>
          <w:szCs w:val="20"/>
        </w:rPr>
        <w:t xml:space="preserve">- The </w:t>
      </w:r>
      <w:r>
        <w:rPr>
          <w:rFonts w:ascii="Arial" w:hAnsi="Arial" w:cs="Arial"/>
          <w:sz w:val="20"/>
          <w:szCs w:val="20"/>
        </w:rPr>
        <w:t>R</w:t>
      </w:r>
      <w:r w:rsidRPr="00E26C6F">
        <w:rPr>
          <w:rFonts w:ascii="Arial" w:hAnsi="Arial" w:cs="Arial"/>
          <w:sz w:val="20"/>
          <w:szCs w:val="20"/>
        </w:rPr>
        <w:t xml:space="preserve">esolution takes effect from </w:t>
      </w:r>
      <w:r>
        <w:rPr>
          <w:rFonts w:ascii="Arial" w:hAnsi="Arial" w:cs="Arial"/>
          <w:sz w:val="20"/>
          <w:szCs w:val="20"/>
        </w:rPr>
        <w:t>28</w:t>
      </w:r>
      <w:r w:rsidRPr="00E26C6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Pr="00E26C6F">
        <w:rPr>
          <w:rFonts w:ascii="Arial" w:hAnsi="Arial" w:cs="Arial"/>
          <w:sz w:val="20"/>
          <w:szCs w:val="20"/>
        </w:rPr>
        <w:t>April,</w:t>
      </w:r>
      <w:r>
        <w:rPr>
          <w:rFonts w:ascii="Arial" w:hAnsi="Arial" w:cs="Arial"/>
          <w:sz w:val="20"/>
          <w:szCs w:val="20"/>
        </w:rPr>
        <w:t xml:space="preserve"> 2017</w:t>
      </w:r>
      <w:r w:rsidR="00C6679B">
        <w:rPr>
          <w:rFonts w:ascii="Arial" w:hAnsi="Arial" w:cs="Arial"/>
          <w:sz w:val="20"/>
          <w:szCs w:val="20"/>
        </w:rPr>
        <w:t>.</w:t>
      </w:r>
    </w:p>
    <w:sectPr w:rsidR="005A01B5" w:rsidRPr="004B3943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6240"/>
    <w:rsid w:val="000F393F"/>
    <w:rsid w:val="00177824"/>
    <w:rsid w:val="001A21D4"/>
    <w:rsid w:val="001D5DF4"/>
    <w:rsid w:val="001E4618"/>
    <w:rsid w:val="002D1A5A"/>
    <w:rsid w:val="002F73AB"/>
    <w:rsid w:val="00365F36"/>
    <w:rsid w:val="003742BD"/>
    <w:rsid w:val="003B2819"/>
    <w:rsid w:val="003C42B0"/>
    <w:rsid w:val="003D22A0"/>
    <w:rsid w:val="003E5FBB"/>
    <w:rsid w:val="003F3559"/>
    <w:rsid w:val="004507D5"/>
    <w:rsid w:val="004878CB"/>
    <w:rsid w:val="0049165F"/>
    <w:rsid w:val="00497E1E"/>
    <w:rsid w:val="004B3943"/>
    <w:rsid w:val="00510607"/>
    <w:rsid w:val="00513676"/>
    <w:rsid w:val="005A01B5"/>
    <w:rsid w:val="005D7224"/>
    <w:rsid w:val="00606121"/>
    <w:rsid w:val="006A3D28"/>
    <w:rsid w:val="00713E65"/>
    <w:rsid w:val="00791706"/>
    <w:rsid w:val="008056FA"/>
    <w:rsid w:val="008229C9"/>
    <w:rsid w:val="0084057E"/>
    <w:rsid w:val="00891100"/>
    <w:rsid w:val="008B0163"/>
    <w:rsid w:val="008E7602"/>
    <w:rsid w:val="009D71C1"/>
    <w:rsid w:val="00A03127"/>
    <w:rsid w:val="00A56205"/>
    <w:rsid w:val="00AC2B99"/>
    <w:rsid w:val="00B178CD"/>
    <w:rsid w:val="00B26A69"/>
    <w:rsid w:val="00B93D4D"/>
    <w:rsid w:val="00BA4A0C"/>
    <w:rsid w:val="00C01E56"/>
    <w:rsid w:val="00C14F98"/>
    <w:rsid w:val="00C6679B"/>
    <w:rsid w:val="00CD6921"/>
    <w:rsid w:val="00CE584D"/>
    <w:rsid w:val="00D400FF"/>
    <w:rsid w:val="00D83DAD"/>
    <w:rsid w:val="00DE2259"/>
    <w:rsid w:val="00E06240"/>
    <w:rsid w:val="00E26C6F"/>
    <w:rsid w:val="00E40A80"/>
    <w:rsid w:val="00E949FB"/>
    <w:rsid w:val="00EE78BA"/>
    <w:rsid w:val="00F12948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E4E92-CA5C-4DAB-BCEE-4812DE82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92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20</cp:revision>
  <dcterms:created xsi:type="dcterms:W3CDTF">2017-05-17T14:42:00Z</dcterms:created>
  <dcterms:modified xsi:type="dcterms:W3CDTF">2017-05-18T01:50:00Z</dcterms:modified>
</cp:coreProperties>
</file>